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08C8" w14:textId="77777777" w:rsidR="008C1F0C" w:rsidRDefault="00C04CBA" w:rsidP="00C04CBA">
      <w:pPr>
        <w:autoSpaceDE w:val="0"/>
        <w:autoSpaceDN w:val="0"/>
        <w:adjustRightInd w:val="0"/>
        <w:spacing w:after="0" w:line="240" w:lineRule="auto"/>
        <w:rPr>
          <w:rFonts w:cs="Times New Roman"/>
          <w:color w:val="000000"/>
          <w:sz w:val="20"/>
          <w:szCs w:val="24"/>
        </w:rPr>
      </w:pPr>
      <w:r>
        <w:rPr>
          <w:rFonts w:cs="Times New Roman"/>
          <w:color w:val="000000"/>
          <w:sz w:val="20"/>
          <w:szCs w:val="24"/>
        </w:rPr>
        <w:t xml:space="preserve">Refer to the guidelines regarding writing an effective conclusion. Use these guidelines to critique the example of a conclusion shown on the next page. Evaluate </w:t>
      </w:r>
      <w:r>
        <w:rPr>
          <w:rFonts w:cs="Times New Roman"/>
          <w:color w:val="000000"/>
          <w:sz w:val="20"/>
          <w:szCs w:val="24"/>
        </w:rPr>
        <w:t>this example</w:t>
      </w:r>
      <w:r>
        <w:rPr>
          <w:rFonts w:cs="Times New Roman"/>
          <w:color w:val="000000"/>
          <w:sz w:val="20"/>
          <w:szCs w:val="24"/>
        </w:rPr>
        <w:t xml:space="preserve"> based on </w:t>
      </w:r>
      <w:r w:rsidR="008C1F0C">
        <w:rPr>
          <w:rFonts w:cs="Times New Roman"/>
          <w:color w:val="000000"/>
          <w:sz w:val="20"/>
          <w:szCs w:val="24"/>
        </w:rPr>
        <w:t>each of the following components</w:t>
      </w:r>
      <w:r>
        <w:rPr>
          <w:rFonts w:cs="Times New Roman"/>
          <w:color w:val="000000"/>
          <w:sz w:val="20"/>
          <w:szCs w:val="24"/>
        </w:rPr>
        <w:t>.</w:t>
      </w:r>
      <w:r w:rsidR="008C1F0C">
        <w:rPr>
          <w:rFonts w:cs="Times New Roman"/>
          <w:color w:val="000000"/>
          <w:sz w:val="20"/>
          <w:szCs w:val="24"/>
        </w:rPr>
        <w:t xml:space="preserve"> </w:t>
      </w:r>
    </w:p>
    <w:p w14:paraId="430537E9" w14:textId="77777777" w:rsidR="008C1F0C" w:rsidRDefault="008C1F0C" w:rsidP="00C04CBA">
      <w:pPr>
        <w:autoSpaceDE w:val="0"/>
        <w:autoSpaceDN w:val="0"/>
        <w:adjustRightInd w:val="0"/>
        <w:spacing w:after="0" w:line="240" w:lineRule="auto"/>
        <w:rPr>
          <w:rFonts w:cs="Times New Roman"/>
          <w:color w:val="000000"/>
          <w:sz w:val="20"/>
          <w:szCs w:val="24"/>
        </w:rPr>
      </w:pPr>
    </w:p>
    <w:p w14:paraId="4C25018E" w14:textId="77777777" w:rsidR="008C1F0C" w:rsidRPr="008C1F0C" w:rsidRDefault="008C1F0C" w:rsidP="008C1F0C">
      <w:pPr>
        <w:pStyle w:val="ListParagraph"/>
        <w:numPr>
          <w:ilvl w:val="0"/>
          <w:numId w:val="1"/>
        </w:numPr>
        <w:autoSpaceDE w:val="0"/>
        <w:autoSpaceDN w:val="0"/>
        <w:adjustRightInd w:val="0"/>
        <w:spacing w:after="0" w:line="240" w:lineRule="auto"/>
      </w:pPr>
      <w:r>
        <w:rPr>
          <w:rFonts w:cs="Times New Roman"/>
          <w:color w:val="000000"/>
          <w:sz w:val="20"/>
          <w:szCs w:val="24"/>
        </w:rPr>
        <w:t xml:space="preserve">If </w:t>
      </w:r>
      <w:r w:rsidRPr="008C1F0C">
        <w:rPr>
          <w:rFonts w:cs="Times New Roman"/>
          <w:color w:val="000000"/>
          <w:sz w:val="20"/>
          <w:szCs w:val="24"/>
        </w:rPr>
        <w:t xml:space="preserve">you think </w:t>
      </w:r>
      <w:r>
        <w:rPr>
          <w:rFonts w:cs="Times New Roman"/>
          <w:color w:val="000000"/>
          <w:sz w:val="20"/>
          <w:szCs w:val="24"/>
        </w:rPr>
        <w:t xml:space="preserve">a </w:t>
      </w:r>
      <w:proofErr w:type="gramStart"/>
      <w:r>
        <w:rPr>
          <w:rFonts w:cs="Times New Roman"/>
          <w:color w:val="000000"/>
          <w:sz w:val="20"/>
          <w:szCs w:val="24"/>
        </w:rPr>
        <w:t>particular component</w:t>
      </w:r>
      <w:proofErr w:type="gramEnd"/>
      <w:r>
        <w:rPr>
          <w:rFonts w:cs="Times New Roman"/>
          <w:color w:val="000000"/>
          <w:sz w:val="20"/>
          <w:szCs w:val="24"/>
        </w:rPr>
        <w:t xml:space="preserve"> was addressed effectively, explain what the writer did well.</w:t>
      </w:r>
    </w:p>
    <w:p w14:paraId="6E28863A" w14:textId="47BA3B0D" w:rsidR="00C04CBA" w:rsidRDefault="008C1F0C" w:rsidP="008C1F0C">
      <w:pPr>
        <w:pStyle w:val="ListParagraph"/>
        <w:numPr>
          <w:ilvl w:val="0"/>
          <w:numId w:val="1"/>
        </w:numPr>
        <w:autoSpaceDE w:val="0"/>
        <w:autoSpaceDN w:val="0"/>
        <w:adjustRightInd w:val="0"/>
        <w:spacing w:after="0" w:line="240" w:lineRule="auto"/>
      </w:pPr>
      <w:r>
        <w:rPr>
          <w:rFonts w:cs="Times New Roman"/>
          <w:color w:val="000000"/>
          <w:sz w:val="20"/>
          <w:szCs w:val="24"/>
        </w:rPr>
        <w:t xml:space="preserve">If you think a </w:t>
      </w:r>
      <w:proofErr w:type="gramStart"/>
      <w:r>
        <w:rPr>
          <w:rFonts w:cs="Times New Roman"/>
          <w:color w:val="000000"/>
          <w:sz w:val="20"/>
          <w:szCs w:val="24"/>
        </w:rPr>
        <w:t>particular component</w:t>
      </w:r>
      <w:proofErr w:type="gramEnd"/>
      <w:r>
        <w:rPr>
          <w:rFonts w:cs="Times New Roman"/>
          <w:color w:val="000000"/>
          <w:sz w:val="20"/>
          <w:szCs w:val="24"/>
        </w:rPr>
        <w:t xml:space="preserve"> was not addressed effectively, explain why not and provide suggestions for improvement.</w:t>
      </w:r>
      <w:r w:rsidR="00C04CBA" w:rsidRPr="008C1F0C">
        <w:rPr>
          <w:rFonts w:cs="Times New Roman"/>
          <w:color w:val="000000"/>
          <w:sz w:val="20"/>
          <w:szCs w:val="24"/>
        </w:rPr>
        <w:br/>
      </w:r>
    </w:p>
    <w:tbl>
      <w:tblPr>
        <w:tblStyle w:val="TableGrid"/>
        <w:tblW w:w="0" w:type="auto"/>
        <w:tblLook w:val="04A0" w:firstRow="1" w:lastRow="0" w:firstColumn="1" w:lastColumn="0" w:noHBand="0" w:noVBand="1"/>
      </w:tblPr>
      <w:tblGrid>
        <w:gridCol w:w="1615"/>
        <w:gridCol w:w="7735"/>
      </w:tblGrid>
      <w:tr w:rsidR="00C04CBA" w14:paraId="0480EB0D" w14:textId="77777777" w:rsidTr="006B6B98">
        <w:tc>
          <w:tcPr>
            <w:tcW w:w="1615" w:type="dxa"/>
            <w:shd w:val="clear" w:color="auto" w:fill="F2F2F2" w:themeFill="background1" w:themeFillShade="F2"/>
          </w:tcPr>
          <w:p w14:paraId="23B25AEE" w14:textId="77777777" w:rsidR="00C04CBA" w:rsidRPr="00F52B65" w:rsidRDefault="00C04CBA" w:rsidP="006B6B98">
            <w:pPr>
              <w:jc w:val="center"/>
              <w:rPr>
                <w:b/>
                <w:sz w:val="24"/>
              </w:rPr>
            </w:pPr>
            <w:r w:rsidRPr="00F52B65">
              <w:rPr>
                <w:b/>
                <w:sz w:val="24"/>
              </w:rPr>
              <w:t>Component</w:t>
            </w:r>
          </w:p>
        </w:tc>
        <w:tc>
          <w:tcPr>
            <w:tcW w:w="7735" w:type="dxa"/>
            <w:shd w:val="clear" w:color="auto" w:fill="F2F2F2" w:themeFill="background1" w:themeFillShade="F2"/>
          </w:tcPr>
          <w:p w14:paraId="0C5719AE" w14:textId="77777777" w:rsidR="00C04CBA" w:rsidRPr="00F52B65" w:rsidRDefault="00C04CBA" w:rsidP="006B6B98">
            <w:pPr>
              <w:jc w:val="center"/>
              <w:rPr>
                <w:b/>
                <w:sz w:val="24"/>
              </w:rPr>
            </w:pPr>
            <w:r>
              <w:rPr>
                <w:b/>
                <w:sz w:val="24"/>
              </w:rPr>
              <w:t>Comments</w:t>
            </w:r>
          </w:p>
        </w:tc>
      </w:tr>
      <w:tr w:rsidR="00C04CBA" w14:paraId="0E7F3F9C" w14:textId="77777777" w:rsidTr="006B6B98">
        <w:trPr>
          <w:trHeight w:val="1691"/>
        </w:trPr>
        <w:tc>
          <w:tcPr>
            <w:tcW w:w="1615" w:type="dxa"/>
            <w:vAlign w:val="center"/>
          </w:tcPr>
          <w:p w14:paraId="60C60619" w14:textId="77777777" w:rsidR="00C04CBA" w:rsidRDefault="00C04CBA" w:rsidP="006B6B98">
            <w:pPr>
              <w:jc w:val="center"/>
            </w:pPr>
            <w:r>
              <w:t>Overview of Main Ideas</w:t>
            </w:r>
          </w:p>
        </w:tc>
        <w:tc>
          <w:tcPr>
            <w:tcW w:w="7735" w:type="dxa"/>
          </w:tcPr>
          <w:p w14:paraId="27E4C5A6" w14:textId="77777777" w:rsidR="00C04CBA" w:rsidRDefault="00C04CBA" w:rsidP="006B6B98"/>
        </w:tc>
      </w:tr>
      <w:tr w:rsidR="00C04CBA" w14:paraId="40F55C19" w14:textId="77777777" w:rsidTr="006B6B98">
        <w:trPr>
          <w:trHeight w:val="1709"/>
        </w:trPr>
        <w:tc>
          <w:tcPr>
            <w:tcW w:w="1615" w:type="dxa"/>
            <w:vAlign w:val="center"/>
          </w:tcPr>
          <w:p w14:paraId="42B7F008" w14:textId="77777777" w:rsidR="00C04CBA" w:rsidRDefault="00C04CBA" w:rsidP="006B6B98">
            <w:pPr>
              <w:jc w:val="center"/>
            </w:pPr>
            <w:r>
              <w:t>Synthesis vs. Summary</w:t>
            </w:r>
          </w:p>
        </w:tc>
        <w:tc>
          <w:tcPr>
            <w:tcW w:w="7735" w:type="dxa"/>
          </w:tcPr>
          <w:p w14:paraId="25802AC4" w14:textId="77777777" w:rsidR="00C04CBA" w:rsidRDefault="00C04CBA" w:rsidP="006B6B98"/>
        </w:tc>
      </w:tr>
      <w:tr w:rsidR="00C04CBA" w14:paraId="7F0CD712" w14:textId="77777777" w:rsidTr="006B6B98">
        <w:trPr>
          <w:trHeight w:val="1790"/>
        </w:trPr>
        <w:tc>
          <w:tcPr>
            <w:tcW w:w="1615" w:type="dxa"/>
            <w:vAlign w:val="center"/>
          </w:tcPr>
          <w:p w14:paraId="1FDAFC15" w14:textId="77777777" w:rsidR="00C04CBA" w:rsidRDefault="00C04CBA" w:rsidP="006B6B98">
            <w:pPr>
              <w:jc w:val="center"/>
            </w:pPr>
            <w:r>
              <w:t>Specificity Level / Holistic Perspective</w:t>
            </w:r>
          </w:p>
        </w:tc>
        <w:tc>
          <w:tcPr>
            <w:tcW w:w="7735" w:type="dxa"/>
          </w:tcPr>
          <w:p w14:paraId="2F0572AB" w14:textId="77777777" w:rsidR="00C04CBA" w:rsidRDefault="00C04CBA" w:rsidP="006B6B98"/>
        </w:tc>
      </w:tr>
      <w:tr w:rsidR="00C04CBA" w14:paraId="6747ABDE" w14:textId="77777777" w:rsidTr="006B6B98">
        <w:trPr>
          <w:trHeight w:val="1916"/>
        </w:trPr>
        <w:tc>
          <w:tcPr>
            <w:tcW w:w="1615" w:type="dxa"/>
            <w:vAlign w:val="center"/>
          </w:tcPr>
          <w:p w14:paraId="7BCE84D8" w14:textId="77777777" w:rsidR="00C04CBA" w:rsidRDefault="00C04CBA" w:rsidP="006B6B98">
            <w:pPr>
              <w:jc w:val="center"/>
            </w:pPr>
            <w:r>
              <w:t>Use of</w:t>
            </w:r>
          </w:p>
          <w:p w14:paraId="3CCB543F" w14:textId="77777777" w:rsidR="00C04CBA" w:rsidRDefault="00C04CBA" w:rsidP="006B6B98">
            <w:pPr>
              <w:jc w:val="center"/>
            </w:pPr>
            <w:r>
              <w:t>So What?</w:t>
            </w:r>
          </w:p>
          <w:p w14:paraId="5F6BBF70" w14:textId="77777777" w:rsidR="00C04CBA" w:rsidRDefault="00C04CBA" w:rsidP="006B6B98">
            <w:pPr>
              <w:jc w:val="center"/>
            </w:pPr>
            <w:r>
              <w:t>Why do I care?</w:t>
            </w:r>
          </w:p>
          <w:p w14:paraId="439C21A0" w14:textId="77777777" w:rsidR="00C04CBA" w:rsidRDefault="00C04CBA" w:rsidP="006B6B98">
            <w:pPr>
              <w:jc w:val="center"/>
            </w:pPr>
            <w:r>
              <w:t>mantras</w:t>
            </w:r>
          </w:p>
        </w:tc>
        <w:tc>
          <w:tcPr>
            <w:tcW w:w="7735" w:type="dxa"/>
          </w:tcPr>
          <w:p w14:paraId="57C2CD37" w14:textId="77777777" w:rsidR="00C04CBA" w:rsidRDefault="00C04CBA" w:rsidP="006B6B98">
            <w:r>
              <w:br/>
            </w:r>
          </w:p>
        </w:tc>
      </w:tr>
      <w:tr w:rsidR="00C04CBA" w14:paraId="1F6A38E7" w14:textId="77777777" w:rsidTr="006B6B98">
        <w:trPr>
          <w:trHeight w:val="3140"/>
        </w:trPr>
        <w:tc>
          <w:tcPr>
            <w:tcW w:w="1615" w:type="dxa"/>
            <w:vAlign w:val="center"/>
          </w:tcPr>
          <w:p w14:paraId="43994B46" w14:textId="77777777" w:rsidR="00C04CBA" w:rsidRDefault="00C04CBA" w:rsidP="006B6B98">
            <w:pPr>
              <w:jc w:val="center"/>
            </w:pPr>
            <w:r>
              <w:t>Other Thoughts</w:t>
            </w:r>
          </w:p>
        </w:tc>
        <w:tc>
          <w:tcPr>
            <w:tcW w:w="7735" w:type="dxa"/>
          </w:tcPr>
          <w:p w14:paraId="6AE99E49" w14:textId="77777777" w:rsidR="00C04CBA" w:rsidRDefault="00C04CBA" w:rsidP="006B6B98"/>
        </w:tc>
      </w:tr>
    </w:tbl>
    <w:p w14:paraId="4915BC6D" w14:textId="77777777" w:rsidR="00C04CBA" w:rsidRPr="00C0462F" w:rsidRDefault="00C04CBA" w:rsidP="00C04CBA">
      <w:pPr>
        <w:rPr>
          <w:sz w:val="2"/>
          <w:szCs w:val="2"/>
        </w:rPr>
      </w:pPr>
    </w:p>
    <w:p w14:paraId="35D709F7" w14:textId="77777777" w:rsidR="00C04CBA" w:rsidRDefault="00C04CBA">
      <w:pPr>
        <w:rPr>
          <w:rFonts w:cs="Times New Roman"/>
          <w:bCs/>
          <w:color w:val="000000"/>
          <w:sz w:val="28"/>
          <w:szCs w:val="28"/>
        </w:rPr>
      </w:pPr>
      <w:r>
        <w:rPr>
          <w:rFonts w:cs="Times New Roman"/>
          <w:bCs/>
          <w:color w:val="000000"/>
          <w:sz w:val="28"/>
          <w:szCs w:val="28"/>
        </w:rPr>
        <w:br w:type="page"/>
      </w:r>
    </w:p>
    <w:p w14:paraId="3B198785" w14:textId="60AF081C" w:rsidR="00EB471C" w:rsidRPr="00EB471C" w:rsidRDefault="00EB471C" w:rsidP="00EB471C">
      <w:pPr>
        <w:autoSpaceDE w:val="0"/>
        <w:autoSpaceDN w:val="0"/>
        <w:adjustRightInd w:val="0"/>
        <w:spacing w:after="0" w:line="240" w:lineRule="auto"/>
        <w:jc w:val="center"/>
        <w:rPr>
          <w:rFonts w:cs="Times New Roman"/>
          <w:bCs/>
          <w:color w:val="000000"/>
          <w:sz w:val="28"/>
          <w:szCs w:val="28"/>
        </w:rPr>
      </w:pPr>
      <w:r w:rsidRPr="00EB471C">
        <w:rPr>
          <w:rFonts w:cs="Times New Roman"/>
          <w:bCs/>
          <w:color w:val="000000"/>
          <w:sz w:val="28"/>
          <w:szCs w:val="28"/>
        </w:rPr>
        <w:lastRenderedPageBreak/>
        <w:t>Example Conclusion</w:t>
      </w:r>
    </w:p>
    <w:p w14:paraId="5D70DADF" w14:textId="77777777" w:rsidR="00EB471C" w:rsidRPr="00EB471C" w:rsidRDefault="00EB471C" w:rsidP="00EB471C">
      <w:pPr>
        <w:autoSpaceDE w:val="0"/>
        <w:autoSpaceDN w:val="0"/>
        <w:adjustRightInd w:val="0"/>
        <w:spacing w:after="0" w:line="240" w:lineRule="auto"/>
        <w:jc w:val="center"/>
        <w:rPr>
          <w:rFonts w:cs="Times New Roman"/>
          <w:bCs/>
          <w:color w:val="000000"/>
          <w:sz w:val="28"/>
          <w:szCs w:val="28"/>
        </w:rPr>
      </w:pPr>
      <w:r w:rsidRPr="00EB471C">
        <w:rPr>
          <w:rFonts w:cs="Times New Roman"/>
          <w:bCs/>
          <w:color w:val="000000"/>
          <w:sz w:val="28"/>
          <w:szCs w:val="28"/>
        </w:rPr>
        <w:t>Investigating the Validity of the Survey of Attitudes Towards Statistics</w:t>
      </w:r>
    </w:p>
    <w:p w14:paraId="4D8989E2" w14:textId="77777777" w:rsidR="00EB471C" w:rsidRPr="00EB471C" w:rsidRDefault="00EB471C" w:rsidP="00EB471C">
      <w:pPr>
        <w:autoSpaceDE w:val="0"/>
        <w:autoSpaceDN w:val="0"/>
        <w:adjustRightInd w:val="0"/>
        <w:spacing w:after="0" w:line="240" w:lineRule="auto"/>
        <w:rPr>
          <w:rFonts w:cs="Times New Roman"/>
          <w:b/>
          <w:bCs/>
          <w:color w:val="000000"/>
          <w:sz w:val="28"/>
          <w:szCs w:val="28"/>
        </w:rPr>
      </w:pPr>
    </w:p>
    <w:p w14:paraId="307B7A05" w14:textId="77777777" w:rsidR="00EB471C" w:rsidRPr="00EB471C" w:rsidRDefault="00EB471C" w:rsidP="00EB471C">
      <w:pPr>
        <w:autoSpaceDE w:val="0"/>
        <w:autoSpaceDN w:val="0"/>
        <w:adjustRightInd w:val="0"/>
        <w:spacing w:after="0" w:line="240" w:lineRule="auto"/>
        <w:rPr>
          <w:rFonts w:cs="Times New Roman"/>
          <w:b/>
          <w:bCs/>
          <w:color w:val="000000"/>
          <w:sz w:val="28"/>
          <w:szCs w:val="28"/>
        </w:rPr>
      </w:pPr>
    </w:p>
    <w:p w14:paraId="0C04E045" w14:textId="77777777" w:rsidR="00EB471C" w:rsidRPr="003E7F41" w:rsidRDefault="00EB471C" w:rsidP="00EB471C">
      <w:pPr>
        <w:autoSpaceDE w:val="0"/>
        <w:autoSpaceDN w:val="0"/>
        <w:adjustRightInd w:val="0"/>
        <w:spacing w:after="0" w:line="240" w:lineRule="auto"/>
        <w:rPr>
          <w:rFonts w:cs="Times New Roman"/>
          <w:b/>
          <w:bCs/>
          <w:color w:val="000000"/>
          <w:szCs w:val="28"/>
        </w:rPr>
      </w:pPr>
      <w:r w:rsidRPr="003E7F41">
        <w:rPr>
          <w:rFonts w:cs="Times New Roman"/>
          <w:b/>
          <w:bCs/>
          <w:color w:val="000000"/>
          <w:szCs w:val="28"/>
        </w:rPr>
        <w:t>Implications and Further Research:</w:t>
      </w:r>
      <w:r w:rsidR="00C0462F">
        <w:rPr>
          <w:rFonts w:cs="Times New Roman"/>
          <w:b/>
          <w:bCs/>
          <w:color w:val="000000"/>
          <w:szCs w:val="28"/>
        </w:rPr>
        <w:br/>
      </w:r>
    </w:p>
    <w:p w14:paraId="321C715D" w14:textId="77777777" w:rsidR="00EB471C" w:rsidRPr="003E7F41" w:rsidRDefault="00EB471C" w:rsidP="00EB471C">
      <w:pPr>
        <w:autoSpaceDE w:val="0"/>
        <w:autoSpaceDN w:val="0"/>
        <w:adjustRightInd w:val="0"/>
        <w:spacing w:after="0" w:line="240" w:lineRule="auto"/>
        <w:rPr>
          <w:rFonts w:cs="Times New Roman"/>
          <w:color w:val="000000"/>
          <w:sz w:val="20"/>
          <w:szCs w:val="24"/>
        </w:rPr>
      </w:pPr>
      <w:r w:rsidRPr="003E7F41">
        <w:rPr>
          <w:rFonts w:cs="Times New Roman"/>
          <w:color w:val="000000"/>
          <w:sz w:val="20"/>
          <w:szCs w:val="24"/>
        </w:rPr>
        <w:t xml:space="preserve">After understanding the results of Winona State University students, it was of interest to compare them to the national norms to determine if they were similar. The creators of the SATS revealed the survey’s national norms in a personal communication with the professors involved in this study. </w:t>
      </w:r>
      <w:r w:rsidRPr="003E7F41">
        <w:rPr>
          <w:rFonts w:cs="Times New Roman"/>
          <w:i/>
          <w:iCs/>
          <w:color w:val="000000"/>
          <w:sz w:val="20"/>
          <w:szCs w:val="24"/>
        </w:rPr>
        <w:t xml:space="preserve">Value, Interest, </w:t>
      </w:r>
      <w:r w:rsidRPr="003E7F41">
        <w:rPr>
          <w:rFonts w:cs="Times New Roman"/>
          <w:color w:val="000000"/>
          <w:sz w:val="20"/>
          <w:szCs w:val="24"/>
        </w:rPr>
        <w:t xml:space="preserve">and </w:t>
      </w:r>
      <w:r w:rsidRPr="003E7F41">
        <w:rPr>
          <w:rFonts w:cs="Times New Roman"/>
          <w:i/>
          <w:iCs/>
          <w:color w:val="000000"/>
          <w:sz w:val="20"/>
          <w:szCs w:val="24"/>
        </w:rPr>
        <w:t xml:space="preserve">Effort, </w:t>
      </w:r>
      <w:r w:rsidRPr="003E7F41">
        <w:rPr>
          <w:rFonts w:cs="Times New Roman"/>
          <w:color w:val="000000"/>
          <w:sz w:val="20"/>
          <w:szCs w:val="24"/>
        </w:rPr>
        <w:t xml:space="preserve">the three components that showed a decrease from the beginning of the semester to the end, are in-line with what is typically observed nationally. After taking an introductory statistics course, Winona State students have significantly higher attitude scores relating to </w:t>
      </w:r>
      <w:r w:rsidRPr="003E7F41">
        <w:rPr>
          <w:rFonts w:cs="Times New Roman"/>
          <w:i/>
          <w:iCs/>
          <w:color w:val="000000"/>
          <w:sz w:val="20"/>
          <w:szCs w:val="24"/>
        </w:rPr>
        <w:t xml:space="preserve">Affect, Cognitive Competence, </w:t>
      </w:r>
      <w:r w:rsidRPr="003E7F41">
        <w:rPr>
          <w:rFonts w:cs="Times New Roman"/>
          <w:color w:val="000000"/>
          <w:sz w:val="20"/>
          <w:szCs w:val="24"/>
        </w:rPr>
        <w:t xml:space="preserve">and </w:t>
      </w:r>
      <w:r w:rsidRPr="003E7F41">
        <w:rPr>
          <w:rFonts w:cs="Times New Roman"/>
          <w:i/>
          <w:iCs/>
          <w:color w:val="000000"/>
          <w:sz w:val="20"/>
          <w:szCs w:val="24"/>
        </w:rPr>
        <w:t xml:space="preserve">Difficulty. </w:t>
      </w:r>
      <w:r w:rsidRPr="003E7F41">
        <w:rPr>
          <w:rFonts w:cs="Times New Roman"/>
          <w:color w:val="000000"/>
          <w:sz w:val="20"/>
          <w:szCs w:val="24"/>
        </w:rPr>
        <w:t xml:space="preserve">This, however, is not typically observed nationally. </w:t>
      </w:r>
      <w:r w:rsidRPr="003E7F41">
        <w:rPr>
          <w:rFonts w:cs="Times New Roman"/>
          <w:i/>
          <w:iCs/>
          <w:color w:val="000000"/>
          <w:sz w:val="20"/>
          <w:szCs w:val="24"/>
        </w:rPr>
        <w:t xml:space="preserve">Difficulty </w:t>
      </w:r>
      <w:r w:rsidRPr="003E7F41">
        <w:rPr>
          <w:rFonts w:cs="Times New Roman"/>
          <w:color w:val="000000"/>
          <w:sz w:val="20"/>
          <w:szCs w:val="24"/>
        </w:rPr>
        <w:t xml:space="preserve">usually tends to decrease, while </w:t>
      </w:r>
      <w:r w:rsidRPr="003E7F41">
        <w:rPr>
          <w:rFonts w:cs="Times New Roman"/>
          <w:i/>
          <w:iCs/>
          <w:color w:val="000000"/>
          <w:sz w:val="20"/>
          <w:szCs w:val="24"/>
        </w:rPr>
        <w:t xml:space="preserve">Affect </w:t>
      </w:r>
      <w:r w:rsidRPr="003E7F41">
        <w:rPr>
          <w:rFonts w:cs="Times New Roman"/>
          <w:color w:val="000000"/>
          <w:sz w:val="20"/>
          <w:szCs w:val="24"/>
        </w:rPr>
        <w:t xml:space="preserve">and </w:t>
      </w:r>
      <w:r w:rsidRPr="003E7F41">
        <w:rPr>
          <w:rFonts w:cs="Times New Roman"/>
          <w:i/>
          <w:iCs/>
          <w:color w:val="000000"/>
          <w:sz w:val="20"/>
          <w:szCs w:val="24"/>
        </w:rPr>
        <w:t>Cognitive Competence</w:t>
      </w:r>
      <w:r w:rsidRPr="003E7F41">
        <w:rPr>
          <w:rFonts w:cs="Times New Roman"/>
          <w:color w:val="000000"/>
          <w:sz w:val="20"/>
          <w:szCs w:val="24"/>
        </w:rPr>
        <w:t xml:space="preserve"> stay about the same. Because </w:t>
      </w:r>
      <w:r w:rsidRPr="003E7F41">
        <w:rPr>
          <w:rFonts w:cs="Times New Roman"/>
          <w:i/>
          <w:iCs/>
          <w:color w:val="000000"/>
          <w:sz w:val="20"/>
          <w:szCs w:val="24"/>
        </w:rPr>
        <w:t xml:space="preserve">Difficulty </w:t>
      </w:r>
      <w:r w:rsidRPr="003E7F41">
        <w:rPr>
          <w:rFonts w:cs="Times New Roman"/>
          <w:color w:val="000000"/>
          <w:sz w:val="20"/>
          <w:szCs w:val="24"/>
        </w:rPr>
        <w:t>increased at the Winona State level and, on average, decreased at the national level, the professors in Winona are possibly teaching statistics better, since students think statistics was easier after taking the course than when they had first started.</w:t>
      </w:r>
    </w:p>
    <w:p w14:paraId="0835BC67" w14:textId="77777777" w:rsidR="00EB471C" w:rsidRPr="003E7F41" w:rsidRDefault="00EB471C" w:rsidP="00EB471C">
      <w:pPr>
        <w:autoSpaceDE w:val="0"/>
        <w:autoSpaceDN w:val="0"/>
        <w:adjustRightInd w:val="0"/>
        <w:spacing w:after="0" w:line="240" w:lineRule="auto"/>
        <w:rPr>
          <w:rFonts w:cs="Times New Roman"/>
          <w:color w:val="000000"/>
          <w:sz w:val="20"/>
          <w:szCs w:val="24"/>
        </w:rPr>
      </w:pPr>
    </w:p>
    <w:p w14:paraId="10897710" w14:textId="77777777" w:rsidR="00EB471C" w:rsidRPr="003E7F41" w:rsidRDefault="00EB471C" w:rsidP="00EB471C">
      <w:pPr>
        <w:autoSpaceDE w:val="0"/>
        <w:autoSpaceDN w:val="0"/>
        <w:adjustRightInd w:val="0"/>
        <w:spacing w:after="0" w:line="240" w:lineRule="auto"/>
        <w:rPr>
          <w:rFonts w:cs="Times New Roman"/>
          <w:color w:val="000000"/>
          <w:sz w:val="20"/>
          <w:szCs w:val="24"/>
        </w:rPr>
      </w:pPr>
      <w:r w:rsidRPr="003E7F41">
        <w:rPr>
          <w:rFonts w:cs="Times New Roman"/>
          <w:color w:val="000000"/>
          <w:sz w:val="20"/>
          <w:szCs w:val="24"/>
        </w:rPr>
        <w:t xml:space="preserve">In the future, it would be interesting to explore the differences in students based on the questions they had to answer at the end of the survey. There may be differences between males and females or differences among majors. It would also be interesting to look at differences between the three professors who administered the surveys and taught the courses. This could be helpful in finding out their strengths and weaknesses to increase students’ attitudes toward statistics. For example, if one professor had a higher attitude score for </w:t>
      </w:r>
      <w:r w:rsidRPr="003E7F41">
        <w:rPr>
          <w:rFonts w:cs="Times New Roman"/>
          <w:i/>
          <w:iCs/>
          <w:color w:val="000000"/>
          <w:sz w:val="20"/>
          <w:szCs w:val="24"/>
        </w:rPr>
        <w:t>Interest</w:t>
      </w:r>
      <w:r w:rsidRPr="003E7F41">
        <w:rPr>
          <w:rFonts w:cs="Times New Roman"/>
          <w:color w:val="000000"/>
          <w:sz w:val="20"/>
          <w:szCs w:val="24"/>
        </w:rPr>
        <w:t>, they may share the types of examples they use or the way they teach to engage students and interest them in statistics.</w:t>
      </w:r>
    </w:p>
    <w:p w14:paraId="04A96AC5" w14:textId="77777777" w:rsidR="00EB471C" w:rsidRPr="003E7F41" w:rsidRDefault="00EB471C" w:rsidP="00EB471C">
      <w:pPr>
        <w:autoSpaceDE w:val="0"/>
        <w:autoSpaceDN w:val="0"/>
        <w:adjustRightInd w:val="0"/>
        <w:spacing w:after="0" w:line="240" w:lineRule="auto"/>
        <w:rPr>
          <w:rFonts w:cs="Times New Roman"/>
          <w:color w:val="000000"/>
          <w:sz w:val="20"/>
          <w:szCs w:val="24"/>
        </w:rPr>
      </w:pPr>
    </w:p>
    <w:p w14:paraId="7271C5C1" w14:textId="77777777" w:rsidR="00EB471C" w:rsidRPr="003E7F41" w:rsidRDefault="00EB471C" w:rsidP="00EB471C">
      <w:pPr>
        <w:autoSpaceDE w:val="0"/>
        <w:autoSpaceDN w:val="0"/>
        <w:adjustRightInd w:val="0"/>
        <w:spacing w:after="0" w:line="240" w:lineRule="auto"/>
        <w:rPr>
          <w:rFonts w:cs="Times New Roman"/>
          <w:color w:val="000000"/>
          <w:sz w:val="20"/>
          <w:szCs w:val="24"/>
        </w:rPr>
      </w:pPr>
      <w:r w:rsidRPr="003E7F41">
        <w:rPr>
          <w:rFonts w:cs="Times New Roman"/>
          <w:color w:val="000000"/>
          <w:sz w:val="20"/>
          <w:szCs w:val="24"/>
        </w:rPr>
        <w:t xml:space="preserve">After investigating the SATS by running a factor analysis using the Winona State data, it can be said that the SATS may not actually be measuring six unique components as the authors claim it is measuring. Currently, it is only measuring two of the original components, </w:t>
      </w:r>
      <w:r w:rsidRPr="003E7F41">
        <w:rPr>
          <w:rFonts w:cs="Times New Roman"/>
          <w:i/>
          <w:iCs/>
          <w:color w:val="000000"/>
          <w:sz w:val="20"/>
          <w:szCs w:val="24"/>
        </w:rPr>
        <w:t xml:space="preserve">Value </w:t>
      </w:r>
      <w:r w:rsidRPr="003E7F41">
        <w:rPr>
          <w:rFonts w:cs="Times New Roman"/>
          <w:color w:val="000000"/>
          <w:sz w:val="20"/>
          <w:szCs w:val="24"/>
        </w:rPr>
        <w:t xml:space="preserve">and </w:t>
      </w:r>
      <w:r w:rsidRPr="003E7F41">
        <w:rPr>
          <w:rFonts w:cs="Times New Roman"/>
          <w:i/>
          <w:iCs/>
          <w:color w:val="000000"/>
          <w:sz w:val="20"/>
          <w:szCs w:val="24"/>
        </w:rPr>
        <w:t xml:space="preserve">Effort, </w:t>
      </w:r>
      <w:r w:rsidRPr="003E7F41">
        <w:rPr>
          <w:rFonts w:cs="Times New Roman"/>
          <w:color w:val="000000"/>
          <w:sz w:val="20"/>
          <w:szCs w:val="24"/>
        </w:rPr>
        <w:t xml:space="preserve">because the corresponding items load on two distinct factors. Educators using this tool should consider only measuring </w:t>
      </w:r>
      <w:r w:rsidRPr="003E7F41">
        <w:rPr>
          <w:rFonts w:cs="Times New Roman"/>
          <w:i/>
          <w:iCs/>
          <w:color w:val="000000"/>
          <w:sz w:val="20"/>
          <w:szCs w:val="24"/>
        </w:rPr>
        <w:t xml:space="preserve">Value </w:t>
      </w:r>
      <w:r w:rsidRPr="003E7F41">
        <w:rPr>
          <w:rFonts w:cs="Times New Roman"/>
          <w:color w:val="000000"/>
          <w:sz w:val="20"/>
          <w:szCs w:val="24"/>
        </w:rPr>
        <w:t xml:space="preserve">and </w:t>
      </w:r>
      <w:r w:rsidRPr="003E7F41">
        <w:rPr>
          <w:rFonts w:cs="Times New Roman"/>
          <w:i/>
          <w:iCs/>
          <w:color w:val="000000"/>
          <w:sz w:val="20"/>
          <w:szCs w:val="24"/>
        </w:rPr>
        <w:t xml:space="preserve">Effort </w:t>
      </w:r>
      <w:r w:rsidRPr="003E7F41">
        <w:rPr>
          <w:rFonts w:cs="Times New Roman"/>
          <w:color w:val="000000"/>
          <w:sz w:val="20"/>
          <w:szCs w:val="24"/>
        </w:rPr>
        <w:t xml:space="preserve">attitudes and combine the other components, </w:t>
      </w:r>
      <w:r w:rsidRPr="003E7F41">
        <w:rPr>
          <w:rFonts w:cs="Times New Roman"/>
          <w:i/>
          <w:iCs/>
          <w:color w:val="000000"/>
          <w:sz w:val="20"/>
          <w:szCs w:val="24"/>
        </w:rPr>
        <w:t xml:space="preserve">Affect, Cognitive Competence, Difficult, </w:t>
      </w:r>
      <w:r w:rsidRPr="003E7F41">
        <w:rPr>
          <w:rFonts w:cs="Times New Roman"/>
          <w:color w:val="000000"/>
          <w:sz w:val="20"/>
          <w:szCs w:val="24"/>
        </w:rPr>
        <w:t xml:space="preserve">and </w:t>
      </w:r>
      <w:r w:rsidRPr="003E7F41">
        <w:rPr>
          <w:rFonts w:cs="Times New Roman"/>
          <w:i/>
          <w:iCs/>
          <w:color w:val="000000"/>
          <w:sz w:val="20"/>
          <w:szCs w:val="24"/>
        </w:rPr>
        <w:t xml:space="preserve">Interest, </w:t>
      </w:r>
      <w:r w:rsidRPr="003E7F41">
        <w:rPr>
          <w:rFonts w:cs="Times New Roman"/>
          <w:color w:val="000000"/>
          <w:sz w:val="20"/>
          <w:szCs w:val="24"/>
        </w:rPr>
        <w:t>into only two factors to measure how confident students are in their ability to learn statistics.</w:t>
      </w:r>
    </w:p>
    <w:p w14:paraId="11BC742D" w14:textId="77777777" w:rsidR="00EB471C" w:rsidRPr="003E7F41" w:rsidRDefault="00EB471C" w:rsidP="00EB471C">
      <w:pPr>
        <w:autoSpaceDE w:val="0"/>
        <w:autoSpaceDN w:val="0"/>
        <w:adjustRightInd w:val="0"/>
        <w:spacing w:after="0" w:line="240" w:lineRule="auto"/>
        <w:rPr>
          <w:rFonts w:cs="Times New Roman"/>
          <w:color w:val="000000"/>
          <w:sz w:val="20"/>
          <w:szCs w:val="24"/>
        </w:rPr>
      </w:pPr>
    </w:p>
    <w:p w14:paraId="723B27AE" w14:textId="75BBD938" w:rsidR="003E7F41" w:rsidRDefault="00EB471C" w:rsidP="004E4930">
      <w:pPr>
        <w:autoSpaceDE w:val="0"/>
        <w:autoSpaceDN w:val="0"/>
        <w:adjustRightInd w:val="0"/>
        <w:spacing w:after="0" w:line="240" w:lineRule="auto"/>
        <w:rPr>
          <w:rFonts w:cs="Times New Roman"/>
          <w:color w:val="000000"/>
          <w:sz w:val="20"/>
          <w:szCs w:val="24"/>
        </w:rPr>
      </w:pPr>
      <w:r w:rsidRPr="003E7F41">
        <w:rPr>
          <w:rFonts w:cs="Times New Roman"/>
          <w:color w:val="000000"/>
          <w:sz w:val="20"/>
          <w:szCs w:val="24"/>
        </w:rPr>
        <w:t>Further research should be done to investigate the relationships between the components, especially the four that were not unique. It would also be of interest to conduct a confirmatory factor analysis to dig deeper into the validity of the survey. The SATS is a great tool for educators to use to assess their students’ attitudes, however, is should be used with caution. The administrators of the survey should look into all of the items that loaded on Factors 1 and 2 to determine if attitudes increased or decreased, rather than focusing on the</w:t>
      </w:r>
      <w:bookmarkStart w:id="0" w:name="_GoBack"/>
      <w:bookmarkEnd w:id="0"/>
      <w:r w:rsidRPr="003E7F41">
        <w:rPr>
          <w:rFonts w:cs="Times New Roman"/>
          <w:color w:val="000000"/>
          <w:sz w:val="20"/>
          <w:szCs w:val="24"/>
        </w:rPr>
        <w:t xml:space="preserve"> original components.</w:t>
      </w:r>
    </w:p>
    <w:sectPr w:rsidR="003E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214"/>
    <w:multiLevelType w:val="hybridMultilevel"/>
    <w:tmpl w:val="5CB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1C"/>
    <w:rsid w:val="003E7F41"/>
    <w:rsid w:val="004E4930"/>
    <w:rsid w:val="00732599"/>
    <w:rsid w:val="00855DB7"/>
    <w:rsid w:val="008C1F0C"/>
    <w:rsid w:val="00B6717F"/>
    <w:rsid w:val="00C0462F"/>
    <w:rsid w:val="00C04CBA"/>
    <w:rsid w:val="00C211D3"/>
    <w:rsid w:val="00C92203"/>
    <w:rsid w:val="00EB471C"/>
    <w:rsid w:val="00EE5869"/>
    <w:rsid w:val="00F5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50E"/>
  <w15:chartTrackingRefBased/>
  <w15:docId w15:val="{416A8BEB-E9D3-42A9-8F30-2049AD5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Hooks, Tisha L</cp:lastModifiedBy>
  <cp:revision>2</cp:revision>
  <dcterms:created xsi:type="dcterms:W3CDTF">2020-04-06T16:19:00Z</dcterms:created>
  <dcterms:modified xsi:type="dcterms:W3CDTF">2020-04-06T16:19:00Z</dcterms:modified>
</cp:coreProperties>
</file>